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F3557" w14:textId="29E73A88" w:rsidR="000104A5" w:rsidRPr="002F3B30" w:rsidRDefault="000104A5" w:rsidP="000104A5">
      <w:pPr>
        <w:shd w:val="clear" w:color="auto" w:fill="D9E2F3" w:themeFill="accent1" w:themeFillTint="33"/>
        <w:ind w:left="-450"/>
        <w:jc w:val="both"/>
        <w:rPr>
          <w:rFonts w:ascii="Calibri" w:hAnsi="Calibri"/>
          <w:color w:val="002060"/>
        </w:rPr>
      </w:pPr>
      <w:r w:rsidRPr="002F3B30">
        <w:rPr>
          <w:rFonts w:ascii="Calibri" w:hAnsi="Calibri"/>
          <w:b/>
          <w:color w:val="002060"/>
        </w:rPr>
        <w:t xml:space="preserve">APPENDIX </w:t>
      </w:r>
      <w:r>
        <w:rPr>
          <w:rFonts w:ascii="Calibri" w:hAnsi="Calibri"/>
          <w:b/>
          <w:color w:val="002060"/>
        </w:rPr>
        <w:t>C</w:t>
      </w:r>
      <w:r w:rsidRPr="002F3B30">
        <w:rPr>
          <w:rFonts w:ascii="Calibri" w:hAnsi="Calibri"/>
          <w:b/>
          <w:color w:val="002060"/>
        </w:rPr>
        <w:t>:  CSAP</w:t>
      </w:r>
      <w:r w:rsidR="00B057D8">
        <w:rPr>
          <w:rFonts w:ascii="Calibri" w:hAnsi="Calibri"/>
          <w:b/>
          <w:color w:val="002060"/>
        </w:rPr>
        <w:t xml:space="preserve"> Preven</w:t>
      </w:r>
      <w:r w:rsidR="007E07EB">
        <w:rPr>
          <w:rFonts w:ascii="Calibri" w:hAnsi="Calibri"/>
          <w:b/>
          <w:color w:val="002060"/>
        </w:rPr>
        <w:t xml:space="preserve">tion </w:t>
      </w:r>
      <w:r w:rsidR="00B057D8">
        <w:rPr>
          <w:rFonts w:ascii="Calibri" w:hAnsi="Calibri"/>
          <w:b/>
          <w:color w:val="002060"/>
        </w:rPr>
        <w:t>Strategies</w:t>
      </w:r>
    </w:p>
    <w:p w14:paraId="4CBE3F58" w14:textId="77777777" w:rsidR="000104A5" w:rsidRDefault="000104A5" w:rsidP="000104A5">
      <w:pPr>
        <w:ind w:left="-450"/>
        <w:jc w:val="both"/>
        <w:rPr>
          <w:rFonts w:ascii="Calibri" w:hAnsi="Calibri"/>
        </w:rPr>
      </w:pPr>
      <w:r w:rsidRPr="00F43B05">
        <w:rPr>
          <w:rFonts w:ascii="Calibri" w:hAnsi="Calibri"/>
        </w:rPr>
        <w:t>All prevention services can be categorized under one of these six federal prevention strategies, and the link to the corresponding intervention for each must be made. The federal prevention strategies that should have priority in each region are “Community-Based Process” and “Environmental,” and to a lesser extent “Education” and “Problem Identification and Referral.”</w:t>
      </w:r>
    </w:p>
    <w:p w14:paraId="3990ECCF" w14:textId="77777777" w:rsidR="000104A5" w:rsidRPr="0038519F" w:rsidRDefault="000104A5" w:rsidP="000104A5">
      <w:pPr>
        <w:ind w:left="360"/>
        <w:jc w:val="both"/>
        <w:rPr>
          <w:rFonts w:ascii="Calibri" w:hAnsi="Calibri"/>
          <w:sz w:val="14"/>
          <w:szCs w:val="14"/>
        </w:rPr>
      </w:pPr>
    </w:p>
    <w:p w14:paraId="07D992E0" w14:textId="77777777" w:rsidR="000104A5" w:rsidRPr="00F43B05" w:rsidRDefault="000104A5" w:rsidP="000104A5">
      <w:pPr>
        <w:ind w:left="-450"/>
        <w:jc w:val="both"/>
        <w:rPr>
          <w:rFonts w:ascii="Calibri" w:hAnsi="Calibri"/>
        </w:rPr>
      </w:pPr>
      <w:r w:rsidRPr="00F43B05">
        <w:rPr>
          <w:rFonts w:ascii="Calibri" w:hAnsi="Calibri"/>
        </w:rPr>
        <w:t xml:space="preserve">If “Information Dissemination” strategies are used, they must be part of a </w:t>
      </w:r>
      <w:r w:rsidRPr="009C2794">
        <w:rPr>
          <w:rFonts w:ascii="Calibri" w:hAnsi="Calibri"/>
          <w:b/>
        </w:rPr>
        <w:t>multi-faceted prevention</w:t>
      </w:r>
      <w:r>
        <w:rPr>
          <w:rFonts w:ascii="Calibri" w:hAnsi="Calibri"/>
        </w:rPr>
        <w:t xml:space="preserve"> </w:t>
      </w:r>
      <w:r w:rsidRPr="009C2794">
        <w:rPr>
          <w:rFonts w:ascii="Calibri" w:hAnsi="Calibri"/>
          <w:b/>
        </w:rPr>
        <w:t>strategy/initiative</w:t>
      </w:r>
      <w:r>
        <w:rPr>
          <w:rFonts w:ascii="Calibri" w:hAnsi="Calibri"/>
        </w:rPr>
        <w:t xml:space="preserve">.  </w:t>
      </w:r>
      <w:r w:rsidRPr="00F43B05">
        <w:rPr>
          <w:rFonts w:ascii="Calibri" w:hAnsi="Calibri"/>
        </w:rPr>
        <w:t>Independent or stand-alone information dissemination services are disallowed. In addition, if “Alternative” strategies are used, the service must reflect evidenced-based approaches and best practices, such as multi-generational and adult-to-youth mentoring.</w:t>
      </w:r>
    </w:p>
    <w:p w14:paraId="40E44E67" w14:textId="77777777" w:rsidR="000104A5" w:rsidRPr="0038519F" w:rsidRDefault="000104A5" w:rsidP="000104A5">
      <w:pPr>
        <w:ind w:left="360"/>
        <w:jc w:val="both"/>
        <w:rPr>
          <w:rFonts w:ascii="Calibri" w:hAnsi="Calibri"/>
          <w:sz w:val="14"/>
          <w:szCs w:val="14"/>
        </w:rPr>
      </w:pPr>
    </w:p>
    <w:p w14:paraId="11A093A5" w14:textId="77777777" w:rsidR="000104A5" w:rsidRPr="00F43B05" w:rsidRDefault="000104A5" w:rsidP="000104A5">
      <w:pPr>
        <w:ind w:left="-450"/>
        <w:jc w:val="both"/>
        <w:rPr>
          <w:rFonts w:ascii="Calibri" w:hAnsi="Calibri"/>
        </w:rPr>
      </w:pPr>
      <w:r w:rsidRPr="00F43B05">
        <w:rPr>
          <w:rFonts w:ascii="Calibri" w:hAnsi="Calibri"/>
          <w:b/>
          <w:i/>
        </w:rPr>
        <w:t>Example</w:t>
      </w:r>
      <w:r w:rsidRPr="00F43B05">
        <w:rPr>
          <w:rFonts w:ascii="Calibri" w:hAnsi="Calibri"/>
        </w:rPr>
        <w:t>: Related to federal strategy, “Environmental,” the intervention may be,</w:t>
      </w:r>
      <w:r w:rsidRPr="00F43B05">
        <w:rPr>
          <w:rFonts w:ascii="Calibri" w:hAnsi="Calibri"/>
          <w:color w:val="000000"/>
        </w:rPr>
        <w:t xml:space="preserve"> “</w:t>
      </w:r>
      <w:r w:rsidRPr="00F43B05">
        <w:rPr>
          <w:rFonts w:ascii="Calibri" w:hAnsi="Calibri"/>
        </w:rPr>
        <w:t>Increase enforcement of existing alcohol sales laws.”</w:t>
      </w:r>
    </w:p>
    <w:p w14:paraId="584CECB1" w14:textId="77777777" w:rsidR="000104A5" w:rsidRPr="0038519F" w:rsidRDefault="000104A5" w:rsidP="000104A5">
      <w:pPr>
        <w:jc w:val="both"/>
        <w:rPr>
          <w:rFonts w:ascii="Calibri" w:hAnsi="Calibri"/>
          <w:sz w:val="14"/>
          <w:szCs w:val="14"/>
        </w:rPr>
      </w:pPr>
    </w:p>
    <w:p w14:paraId="1A2134A5" w14:textId="77777777" w:rsidR="000104A5" w:rsidRPr="00A21A14" w:rsidRDefault="000104A5" w:rsidP="000104A5">
      <w:pPr>
        <w:pStyle w:val="ListParagraph"/>
        <w:numPr>
          <w:ilvl w:val="0"/>
          <w:numId w:val="1"/>
        </w:numPr>
        <w:ind w:left="0"/>
        <w:contextualSpacing w:val="0"/>
        <w:jc w:val="both"/>
        <w:rPr>
          <w:rFonts w:asciiTheme="minorHAnsi" w:hAnsiTheme="minorHAnsi" w:cstheme="minorHAnsi"/>
          <w:color w:val="000000"/>
        </w:rPr>
      </w:pPr>
      <w:r w:rsidRPr="00A21A14">
        <w:rPr>
          <w:rFonts w:asciiTheme="minorHAnsi" w:hAnsiTheme="minorHAnsi" w:cstheme="minorHAnsi"/>
          <w:b/>
          <w:bCs/>
          <w:color w:val="000000"/>
        </w:rPr>
        <w:t xml:space="preserve">Information Dissemination:  </w:t>
      </w:r>
      <w:r w:rsidRPr="00A21A14">
        <w:rPr>
          <w:rFonts w:asciiTheme="minorHAnsi" w:hAnsiTheme="minorHAnsi" w:cstheme="minorHAnsi"/>
          <w:color w:val="000000"/>
        </w:rPr>
        <w:t>This strategy provides information about the nature and extent of drug use, abuse, and addiction and its effects on individuals, families, and communities. It also provides information on available prevention programs and services. The dissemination of information is characterized by one-way communication from the source to the audience, with limited contact between the two.  Examples of methods used for this strategy include the following:</w:t>
      </w:r>
    </w:p>
    <w:p w14:paraId="06ED5877" w14:textId="77777777" w:rsidR="000104A5" w:rsidRPr="00A21A14" w:rsidRDefault="000104A5" w:rsidP="000104A5">
      <w:pPr>
        <w:ind w:left="-90" w:firstLine="720"/>
        <w:jc w:val="both"/>
        <w:rPr>
          <w:rFonts w:asciiTheme="minorHAnsi" w:hAnsiTheme="minorHAnsi" w:cstheme="minorHAnsi"/>
          <w:color w:val="000000"/>
        </w:rPr>
      </w:pPr>
      <w:r w:rsidRPr="00A21A14">
        <w:rPr>
          <w:rFonts w:asciiTheme="minorHAnsi" w:hAnsiTheme="minorHAnsi" w:cstheme="minorHAnsi"/>
          <w:color w:val="000000"/>
        </w:rPr>
        <w:t>Clearinghouses and other information resource centers</w:t>
      </w:r>
    </w:p>
    <w:p w14:paraId="5A677B63" w14:textId="77777777" w:rsidR="000104A5" w:rsidRPr="00A21A14" w:rsidRDefault="000104A5" w:rsidP="000104A5">
      <w:pPr>
        <w:ind w:left="-90" w:firstLine="720"/>
        <w:jc w:val="both"/>
        <w:rPr>
          <w:rFonts w:asciiTheme="minorHAnsi" w:hAnsiTheme="minorHAnsi" w:cstheme="minorHAnsi"/>
          <w:color w:val="000000"/>
        </w:rPr>
      </w:pPr>
      <w:r w:rsidRPr="00A21A14">
        <w:rPr>
          <w:rFonts w:asciiTheme="minorHAnsi" w:hAnsiTheme="minorHAnsi" w:cstheme="minorHAnsi"/>
          <w:color w:val="000000"/>
        </w:rPr>
        <w:t>Resource directories</w:t>
      </w:r>
    </w:p>
    <w:p w14:paraId="4EF55A9B" w14:textId="77777777" w:rsidR="000104A5" w:rsidRPr="00A21A14" w:rsidRDefault="000104A5" w:rsidP="000104A5">
      <w:pPr>
        <w:ind w:left="-90" w:firstLine="720"/>
        <w:jc w:val="both"/>
        <w:rPr>
          <w:rFonts w:asciiTheme="minorHAnsi" w:hAnsiTheme="minorHAnsi" w:cstheme="minorHAnsi"/>
          <w:color w:val="000000"/>
        </w:rPr>
      </w:pPr>
      <w:r w:rsidRPr="00A21A14">
        <w:rPr>
          <w:rFonts w:asciiTheme="minorHAnsi" w:hAnsiTheme="minorHAnsi" w:cstheme="minorHAnsi"/>
          <w:color w:val="000000"/>
        </w:rPr>
        <w:t>Media campaigns</w:t>
      </w:r>
    </w:p>
    <w:p w14:paraId="35A1DDC0" w14:textId="77777777" w:rsidR="000104A5" w:rsidRPr="00A21A14" w:rsidRDefault="000104A5" w:rsidP="000104A5">
      <w:pPr>
        <w:ind w:left="-90" w:firstLine="720"/>
        <w:jc w:val="both"/>
        <w:rPr>
          <w:rFonts w:asciiTheme="minorHAnsi" w:hAnsiTheme="minorHAnsi" w:cstheme="minorHAnsi"/>
          <w:color w:val="000000"/>
        </w:rPr>
      </w:pPr>
      <w:r w:rsidRPr="00A21A14">
        <w:rPr>
          <w:rFonts w:asciiTheme="minorHAnsi" w:hAnsiTheme="minorHAnsi" w:cstheme="minorHAnsi"/>
          <w:color w:val="000000"/>
        </w:rPr>
        <w:t>Brochures</w:t>
      </w:r>
    </w:p>
    <w:p w14:paraId="1DC4E8BE" w14:textId="77777777" w:rsidR="000104A5" w:rsidRPr="00A21A14" w:rsidRDefault="000104A5" w:rsidP="000104A5">
      <w:pPr>
        <w:ind w:left="-90" w:firstLine="720"/>
        <w:jc w:val="both"/>
        <w:rPr>
          <w:rFonts w:asciiTheme="minorHAnsi" w:hAnsiTheme="minorHAnsi" w:cstheme="minorHAnsi"/>
          <w:color w:val="000000"/>
        </w:rPr>
      </w:pPr>
      <w:r w:rsidRPr="00A21A14">
        <w:rPr>
          <w:rFonts w:asciiTheme="minorHAnsi" w:hAnsiTheme="minorHAnsi" w:cstheme="minorHAnsi"/>
          <w:color w:val="000000"/>
        </w:rPr>
        <w:t>Radio and television public service announcements</w:t>
      </w:r>
    </w:p>
    <w:p w14:paraId="26217A45" w14:textId="77777777" w:rsidR="000104A5" w:rsidRPr="00A21A14" w:rsidRDefault="000104A5" w:rsidP="000104A5">
      <w:pPr>
        <w:ind w:left="-90" w:firstLine="720"/>
        <w:jc w:val="both"/>
        <w:rPr>
          <w:rFonts w:asciiTheme="minorHAnsi" w:hAnsiTheme="minorHAnsi" w:cstheme="minorHAnsi"/>
          <w:color w:val="000000"/>
        </w:rPr>
      </w:pPr>
      <w:r w:rsidRPr="00A21A14">
        <w:rPr>
          <w:rFonts w:asciiTheme="minorHAnsi" w:hAnsiTheme="minorHAnsi" w:cstheme="minorHAnsi"/>
          <w:color w:val="000000"/>
        </w:rPr>
        <w:t>Speaking engagements</w:t>
      </w:r>
    </w:p>
    <w:p w14:paraId="6D5C7A36" w14:textId="77777777" w:rsidR="000104A5" w:rsidRPr="00A21A14" w:rsidRDefault="000104A5" w:rsidP="000104A5">
      <w:pPr>
        <w:ind w:left="630"/>
        <w:jc w:val="both"/>
        <w:rPr>
          <w:rFonts w:asciiTheme="minorHAnsi" w:hAnsiTheme="minorHAnsi" w:cstheme="minorHAnsi"/>
          <w:color w:val="000000"/>
        </w:rPr>
      </w:pPr>
      <w:r w:rsidRPr="00A21A14">
        <w:rPr>
          <w:rFonts w:asciiTheme="minorHAnsi" w:hAnsiTheme="minorHAnsi" w:cstheme="minorHAnsi"/>
          <w:color w:val="000000"/>
        </w:rPr>
        <w:t>Health fairs</w:t>
      </w:r>
    </w:p>
    <w:p w14:paraId="0FC95EF5" w14:textId="77777777" w:rsidR="000104A5" w:rsidRPr="00A21A14" w:rsidRDefault="000104A5" w:rsidP="000104A5">
      <w:pPr>
        <w:jc w:val="both"/>
        <w:rPr>
          <w:rFonts w:asciiTheme="minorHAnsi" w:hAnsiTheme="minorHAnsi" w:cstheme="minorHAnsi"/>
        </w:rPr>
      </w:pPr>
      <w:r w:rsidRPr="00A21A14">
        <w:rPr>
          <w:rFonts w:asciiTheme="minorHAnsi" w:hAnsiTheme="minorHAnsi" w:cstheme="minorHAnsi"/>
          <w:sz w:val="14"/>
          <w:szCs w:val="14"/>
        </w:rPr>
        <w:tab/>
      </w:r>
    </w:p>
    <w:p w14:paraId="3B4CA1DD" w14:textId="77777777" w:rsidR="000104A5" w:rsidRPr="00A21A14" w:rsidRDefault="000104A5" w:rsidP="000104A5">
      <w:pPr>
        <w:pStyle w:val="ListParagraph"/>
        <w:numPr>
          <w:ilvl w:val="0"/>
          <w:numId w:val="1"/>
        </w:numPr>
        <w:ind w:left="0"/>
        <w:contextualSpacing w:val="0"/>
        <w:jc w:val="both"/>
        <w:rPr>
          <w:rFonts w:asciiTheme="minorHAnsi" w:hAnsiTheme="minorHAnsi" w:cstheme="minorHAnsi"/>
          <w:bCs/>
          <w:color w:val="000000"/>
        </w:rPr>
      </w:pPr>
      <w:r w:rsidRPr="00A21A14">
        <w:rPr>
          <w:rFonts w:asciiTheme="minorHAnsi" w:hAnsiTheme="minorHAnsi" w:cstheme="minorHAnsi"/>
          <w:b/>
          <w:bCs/>
          <w:color w:val="000000"/>
        </w:rPr>
        <w:t xml:space="preserve">Education:  </w:t>
      </w:r>
      <w:r w:rsidRPr="00A21A14">
        <w:rPr>
          <w:rFonts w:asciiTheme="minorHAnsi" w:hAnsiTheme="minorHAnsi" w:cstheme="minorHAnsi"/>
          <w:bCs/>
          <w:color w:val="000000"/>
        </w:rPr>
        <w:t xml:space="preserve">This strategy involves two-way communication and is distinguished from merely disseminating information by the fact that it is based on an interaction between the educator and the participants. Activities under this strategy aim to affect critical life and social skills, including decision-making, refusal skills, and critical analysis (e.g., of media messages). Examples of methods used for this strategy include the following: </w:t>
      </w:r>
    </w:p>
    <w:p w14:paraId="05EA725B" w14:textId="77777777" w:rsidR="000104A5" w:rsidRPr="00A21A14" w:rsidRDefault="000104A5" w:rsidP="000104A5">
      <w:pPr>
        <w:pStyle w:val="ListParagraph"/>
        <w:ind w:firstLine="720"/>
        <w:jc w:val="both"/>
        <w:rPr>
          <w:rFonts w:asciiTheme="minorHAnsi" w:hAnsiTheme="minorHAnsi" w:cstheme="minorHAnsi"/>
          <w:bCs/>
          <w:color w:val="000000"/>
        </w:rPr>
      </w:pPr>
      <w:r w:rsidRPr="00A21A14">
        <w:rPr>
          <w:rFonts w:asciiTheme="minorHAnsi" w:hAnsiTheme="minorHAnsi" w:cstheme="minorHAnsi"/>
          <w:color w:val="000000"/>
        </w:rPr>
        <w:t>Classroom and small group discussions</w:t>
      </w:r>
    </w:p>
    <w:p w14:paraId="0E31C316" w14:textId="77777777" w:rsidR="000104A5" w:rsidRPr="00A21A14" w:rsidRDefault="000104A5" w:rsidP="000104A5">
      <w:pPr>
        <w:ind w:left="720" w:firstLine="360"/>
        <w:jc w:val="both"/>
        <w:rPr>
          <w:rFonts w:asciiTheme="minorHAnsi" w:hAnsiTheme="minorHAnsi" w:cstheme="minorHAnsi"/>
          <w:color w:val="000000"/>
        </w:rPr>
      </w:pPr>
      <w:r w:rsidRPr="00A21A14">
        <w:rPr>
          <w:rFonts w:asciiTheme="minorHAnsi" w:hAnsiTheme="minorHAnsi" w:cstheme="minorHAnsi"/>
          <w:color w:val="000000"/>
        </w:rPr>
        <w:t>Parenting and family management classes</w:t>
      </w:r>
    </w:p>
    <w:p w14:paraId="2615D50C" w14:textId="77777777" w:rsidR="000104A5" w:rsidRPr="00A21A14" w:rsidRDefault="000104A5" w:rsidP="000104A5">
      <w:pPr>
        <w:ind w:left="720" w:firstLine="720"/>
        <w:jc w:val="both"/>
        <w:rPr>
          <w:rFonts w:asciiTheme="minorHAnsi" w:hAnsiTheme="minorHAnsi" w:cstheme="minorHAnsi"/>
          <w:color w:val="000000"/>
        </w:rPr>
      </w:pPr>
      <w:r w:rsidRPr="00A21A14">
        <w:rPr>
          <w:rFonts w:asciiTheme="minorHAnsi" w:hAnsiTheme="minorHAnsi" w:cstheme="minorHAnsi"/>
          <w:color w:val="000000"/>
        </w:rPr>
        <w:t>Peer-leader and peer-helper programs</w:t>
      </w:r>
    </w:p>
    <w:p w14:paraId="2E9AEDB9" w14:textId="77777777" w:rsidR="000104A5" w:rsidRPr="00A21A14" w:rsidRDefault="000104A5" w:rsidP="000104A5">
      <w:pPr>
        <w:ind w:left="720" w:firstLine="360"/>
        <w:jc w:val="both"/>
        <w:rPr>
          <w:rFonts w:asciiTheme="minorHAnsi" w:hAnsiTheme="minorHAnsi" w:cstheme="minorHAnsi"/>
          <w:color w:val="000000"/>
        </w:rPr>
      </w:pPr>
      <w:r w:rsidRPr="00A21A14">
        <w:rPr>
          <w:rFonts w:asciiTheme="minorHAnsi" w:hAnsiTheme="minorHAnsi" w:cstheme="minorHAnsi"/>
          <w:color w:val="000000"/>
        </w:rPr>
        <w:t>Education programs for youth groups</w:t>
      </w:r>
    </w:p>
    <w:p w14:paraId="089EAD2C" w14:textId="77777777" w:rsidR="000104A5" w:rsidRPr="00A21A14" w:rsidRDefault="000104A5" w:rsidP="000104A5">
      <w:pPr>
        <w:ind w:left="720" w:firstLine="720"/>
        <w:jc w:val="both"/>
        <w:rPr>
          <w:rFonts w:asciiTheme="minorHAnsi" w:hAnsiTheme="minorHAnsi" w:cstheme="minorHAnsi"/>
          <w:color w:val="000000"/>
        </w:rPr>
      </w:pPr>
      <w:r w:rsidRPr="00A21A14">
        <w:rPr>
          <w:rFonts w:asciiTheme="minorHAnsi" w:hAnsiTheme="minorHAnsi" w:cstheme="minorHAnsi"/>
          <w:color w:val="000000"/>
        </w:rPr>
        <w:t>Groups for children of substance abusers</w:t>
      </w:r>
    </w:p>
    <w:p w14:paraId="4A663817" w14:textId="77777777" w:rsidR="000104A5" w:rsidRPr="00A21A14" w:rsidRDefault="000104A5" w:rsidP="000104A5">
      <w:pPr>
        <w:jc w:val="both"/>
        <w:rPr>
          <w:rFonts w:asciiTheme="minorHAnsi" w:hAnsiTheme="minorHAnsi" w:cstheme="minorHAnsi"/>
          <w:color w:val="000000"/>
          <w:sz w:val="14"/>
          <w:szCs w:val="14"/>
        </w:rPr>
      </w:pPr>
    </w:p>
    <w:p w14:paraId="4E82B2A8" w14:textId="77777777" w:rsidR="000104A5" w:rsidRPr="00A21A14" w:rsidRDefault="000104A5" w:rsidP="000104A5">
      <w:pPr>
        <w:pStyle w:val="ListParagraph"/>
        <w:numPr>
          <w:ilvl w:val="0"/>
          <w:numId w:val="1"/>
        </w:numPr>
        <w:ind w:left="0"/>
        <w:contextualSpacing w:val="0"/>
        <w:jc w:val="both"/>
        <w:rPr>
          <w:rFonts w:asciiTheme="minorHAnsi" w:hAnsiTheme="minorHAnsi" w:cstheme="minorHAnsi"/>
          <w:color w:val="000000"/>
        </w:rPr>
      </w:pPr>
      <w:r w:rsidRPr="00A21A14">
        <w:rPr>
          <w:rFonts w:asciiTheme="minorHAnsi" w:hAnsiTheme="minorHAnsi" w:cstheme="minorHAnsi"/>
          <w:b/>
          <w:bCs/>
          <w:color w:val="000000"/>
        </w:rPr>
        <w:t xml:space="preserve">Alternatives:  </w:t>
      </w:r>
      <w:r w:rsidRPr="00A21A14">
        <w:rPr>
          <w:rFonts w:asciiTheme="minorHAnsi" w:hAnsiTheme="minorHAnsi" w:cstheme="minorHAnsi"/>
          <w:color w:val="000000"/>
        </w:rPr>
        <w:t>This strategy provides for the participation of target populations in activities that exclude drug use. The assumption is that because constructive and healthy activities offset the attraction to drugs, or otherwise meet the needs usually filled by drugs, then the population would avoid using drugs.  Examples of methods used for this strategy include:</w:t>
      </w:r>
    </w:p>
    <w:p w14:paraId="070CAAE1" w14:textId="77777777" w:rsidR="000104A5" w:rsidRPr="00A21A14" w:rsidRDefault="000104A5" w:rsidP="000104A5">
      <w:pPr>
        <w:ind w:left="720" w:firstLine="360"/>
        <w:jc w:val="both"/>
        <w:rPr>
          <w:rFonts w:asciiTheme="minorHAnsi" w:hAnsiTheme="minorHAnsi" w:cstheme="minorHAnsi"/>
          <w:color w:val="000000"/>
        </w:rPr>
      </w:pPr>
      <w:r w:rsidRPr="00A21A14">
        <w:rPr>
          <w:rFonts w:asciiTheme="minorHAnsi" w:hAnsiTheme="minorHAnsi" w:cstheme="minorHAnsi"/>
          <w:color w:val="000000"/>
        </w:rPr>
        <w:t>Drug-free social and recreational activities</w:t>
      </w:r>
    </w:p>
    <w:p w14:paraId="0C043708" w14:textId="77777777" w:rsidR="000104A5" w:rsidRPr="00A21A14" w:rsidRDefault="000104A5" w:rsidP="000104A5">
      <w:pPr>
        <w:ind w:left="720" w:firstLine="720"/>
        <w:jc w:val="both"/>
        <w:rPr>
          <w:rFonts w:asciiTheme="minorHAnsi" w:hAnsiTheme="minorHAnsi" w:cstheme="minorHAnsi"/>
          <w:color w:val="000000"/>
        </w:rPr>
      </w:pPr>
      <w:r w:rsidRPr="00A21A14">
        <w:rPr>
          <w:rFonts w:asciiTheme="minorHAnsi" w:hAnsiTheme="minorHAnsi" w:cstheme="minorHAnsi"/>
          <w:color w:val="000000"/>
        </w:rPr>
        <w:t>Drug-free dances and parties</w:t>
      </w:r>
    </w:p>
    <w:p w14:paraId="18BFF7B7" w14:textId="77777777" w:rsidR="000104A5" w:rsidRPr="00A21A14" w:rsidRDefault="000104A5" w:rsidP="000104A5">
      <w:pPr>
        <w:ind w:left="720"/>
        <w:jc w:val="both"/>
        <w:rPr>
          <w:rFonts w:asciiTheme="minorHAnsi" w:hAnsiTheme="minorHAnsi" w:cstheme="minorHAnsi"/>
          <w:color w:val="000000"/>
        </w:rPr>
      </w:pPr>
      <w:r w:rsidRPr="00A21A14">
        <w:rPr>
          <w:rFonts w:asciiTheme="minorHAnsi" w:hAnsiTheme="minorHAnsi" w:cstheme="minorHAnsi"/>
          <w:color w:val="000000"/>
        </w:rPr>
        <w:lastRenderedPageBreak/>
        <w:t>Youth and adult leadership activities</w:t>
      </w:r>
    </w:p>
    <w:p w14:paraId="178ED7BD" w14:textId="77777777" w:rsidR="000104A5" w:rsidRPr="00A21A14" w:rsidRDefault="000104A5" w:rsidP="000104A5">
      <w:pPr>
        <w:ind w:left="720" w:firstLine="360"/>
        <w:jc w:val="both"/>
        <w:rPr>
          <w:rFonts w:asciiTheme="minorHAnsi" w:hAnsiTheme="minorHAnsi" w:cstheme="minorHAnsi"/>
          <w:color w:val="000000"/>
        </w:rPr>
      </w:pPr>
      <w:r w:rsidRPr="00A21A14">
        <w:rPr>
          <w:rFonts w:asciiTheme="minorHAnsi" w:hAnsiTheme="minorHAnsi" w:cstheme="minorHAnsi"/>
          <w:color w:val="000000"/>
        </w:rPr>
        <w:t>Community drop-in centers</w:t>
      </w:r>
    </w:p>
    <w:p w14:paraId="5DF7203C" w14:textId="77777777" w:rsidR="000104A5" w:rsidRPr="00A21A14" w:rsidRDefault="000104A5" w:rsidP="000104A5">
      <w:pPr>
        <w:ind w:left="720" w:firstLine="720"/>
        <w:jc w:val="both"/>
        <w:rPr>
          <w:rFonts w:asciiTheme="minorHAnsi" w:hAnsiTheme="minorHAnsi" w:cstheme="minorHAnsi"/>
          <w:color w:val="000000"/>
        </w:rPr>
      </w:pPr>
      <w:r w:rsidRPr="00A21A14">
        <w:rPr>
          <w:rFonts w:asciiTheme="minorHAnsi" w:hAnsiTheme="minorHAnsi" w:cstheme="minorHAnsi"/>
          <w:color w:val="000000"/>
        </w:rPr>
        <w:t>Mentoring programs</w:t>
      </w:r>
    </w:p>
    <w:p w14:paraId="6C9C8EF0" w14:textId="77777777" w:rsidR="000104A5" w:rsidRPr="00A21A14" w:rsidRDefault="000104A5" w:rsidP="000104A5">
      <w:pPr>
        <w:ind w:left="720" w:firstLine="720"/>
        <w:jc w:val="both"/>
        <w:rPr>
          <w:rFonts w:asciiTheme="minorHAnsi" w:hAnsiTheme="minorHAnsi" w:cstheme="minorHAnsi"/>
          <w:color w:val="000000"/>
          <w:sz w:val="14"/>
          <w:szCs w:val="14"/>
        </w:rPr>
      </w:pPr>
    </w:p>
    <w:p w14:paraId="4D2471AA" w14:textId="77777777" w:rsidR="000104A5" w:rsidRPr="00A21A14" w:rsidRDefault="000104A5" w:rsidP="000104A5">
      <w:pPr>
        <w:pStyle w:val="ListParagraph"/>
        <w:numPr>
          <w:ilvl w:val="0"/>
          <w:numId w:val="1"/>
        </w:numPr>
        <w:ind w:left="0"/>
        <w:contextualSpacing w:val="0"/>
        <w:jc w:val="both"/>
        <w:rPr>
          <w:rFonts w:asciiTheme="minorHAnsi" w:hAnsiTheme="minorHAnsi" w:cstheme="minorHAnsi"/>
          <w:color w:val="000000"/>
        </w:rPr>
      </w:pPr>
      <w:r w:rsidRPr="00A21A14">
        <w:rPr>
          <w:rFonts w:asciiTheme="minorHAnsi" w:hAnsiTheme="minorHAnsi" w:cstheme="minorHAnsi"/>
          <w:b/>
          <w:bCs/>
          <w:color w:val="000000"/>
        </w:rPr>
        <w:t xml:space="preserve">Problem Identification and Referral:  </w:t>
      </w:r>
      <w:r w:rsidRPr="00A21A14">
        <w:rPr>
          <w:rFonts w:asciiTheme="minorHAnsi" w:hAnsiTheme="minorHAnsi" w:cstheme="minorHAnsi"/>
          <w:color w:val="000000"/>
        </w:rPr>
        <w:t xml:space="preserve">This strategy aims to identify those who have indulged in the illegal use of drugs in order to assess if their behavior can be reversed through education. It should be noted, however, that this strategy does not include any activity designed to determine if an individual </w:t>
      </w:r>
      <w:proofErr w:type="gramStart"/>
      <w:r w:rsidRPr="00A21A14">
        <w:rPr>
          <w:rFonts w:asciiTheme="minorHAnsi" w:hAnsiTheme="minorHAnsi" w:cstheme="minorHAnsi"/>
          <w:color w:val="000000"/>
        </w:rPr>
        <w:t>is in need of</w:t>
      </w:r>
      <w:proofErr w:type="gramEnd"/>
      <w:r w:rsidRPr="00A21A14">
        <w:rPr>
          <w:rFonts w:asciiTheme="minorHAnsi" w:hAnsiTheme="minorHAnsi" w:cstheme="minorHAnsi"/>
          <w:color w:val="000000"/>
        </w:rPr>
        <w:t xml:space="preserve"> treatment. Examples of the methods used for this strategy include the following:</w:t>
      </w:r>
    </w:p>
    <w:p w14:paraId="0A2976EE" w14:textId="77777777" w:rsidR="000104A5" w:rsidRPr="00A21A14" w:rsidRDefault="000104A5" w:rsidP="000104A5">
      <w:pPr>
        <w:ind w:left="1080" w:firstLine="360"/>
        <w:jc w:val="both"/>
        <w:rPr>
          <w:rFonts w:asciiTheme="minorHAnsi" w:hAnsiTheme="minorHAnsi" w:cstheme="minorHAnsi"/>
          <w:color w:val="000000"/>
        </w:rPr>
      </w:pPr>
      <w:r w:rsidRPr="00A21A14">
        <w:rPr>
          <w:rFonts w:asciiTheme="minorHAnsi" w:hAnsiTheme="minorHAnsi" w:cstheme="minorHAnsi"/>
          <w:color w:val="000000"/>
        </w:rPr>
        <w:t>Driving while intoxicated education programs</w:t>
      </w:r>
    </w:p>
    <w:p w14:paraId="73C438B6" w14:textId="77777777" w:rsidR="000104A5" w:rsidRPr="00A21A14" w:rsidRDefault="000104A5" w:rsidP="000104A5">
      <w:pPr>
        <w:ind w:left="720" w:firstLine="720"/>
        <w:jc w:val="both"/>
        <w:rPr>
          <w:rFonts w:asciiTheme="minorHAnsi" w:hAnsiTheme="minorHAnsi" w:cstheme="minorHAnsi"/>
          <w:color w:val="000000"/>
        </w:rPr>
      </w:pPr>
      <w:r w:rsidRPr="00A21A14">
        <w:rPr>
          <w:rFonts w:asciiTheme="minorHAnsi" w:hAnsiTheme="minorHAnsi" w:cstheme="minorHAnsi"/>
          <w:color w:val="000000"/>
        </w:rPr>
        <w:t>Employee assistance programs</w:t>
      </w:r>
    </w:p>
    <w:p w14:paraId="49C09D6C" w14:textId="77777777" w:rsidR="000104A5" w:rsidRPr="00A21A14" w:rsidRDefault="000104A5" w:rsidP="000104A5">
      <w:pPr>
        <w:ind w:left="1440"/>
        <w:jc w:val="both"/>
        <w:rPr>
          <w:rFonts w:asciiTheme="minorHAnsi" w:hAnsiTheme="minorHAnsi" w:cstheme="minorHAnsi"/>
          <w:color w:val="000000"/>
        </w:rPr>
      </w:pPr>
      <w:r w:rsidRPr="00A21A14">
        <w:rPr>
          <w:rFonts w:asciiTheme="minorHAnsi" w:hAnsiTheme="minorHAnsi" w:cstheme="minorHAnsi"/>
          <w:color w:val="000000"/>
        </w:rPr>
        <w:t>Student assistance programs</w:t>
      </w:r>
    </w:p>
    <w:p w14:paraId="7D640316" w14:textId="77777777" w:rsidR="000104A5" w:rsidRPr="00A21A14" w:rsidRDefault="000104A5" w:rsidP="000104A5">
      <w:pPr>
        <w:ind w:left="360"/>
        <w:jc w:val="both"/>
        <w:rPr>
          <w:rFonts w:asciiTheme="minorHAnsi" w:hAnsiTheme="minorHAnsi" w:cstheme="minorHAnsi"/>
          <w:color w:val="000000"/>
          <w:sz w:val="14"/>
          <w:szCs w:val="14"/>
        </w:rPr>
      </w:pPr>
    </w:p>
    <w:p w14:paraId="00D74E72" w14:textId="77777777" w:rsidR="000104A5" w:rsidRPr="00A21A14" w:rsidRDefault="000104A5" w:rsidP="000104A5">
      <w:pPr>
        <w:pStyle w:val="ListParagraph"/>
        <w:numPr>
          <w:ilvl w:val="0"/>
          <w:numId w:val="1"/>
        </w:numPr>
        <w:ind w:left="0"/>
        <w:contextualSpacing w:val="0"/>
        <w:jc w:val="both"/>
        <w:rPr>
          <w:rFonts w:asciiTheme="minorHAnsi" w:hAnsiTheme="minorHAnsi" w:cstheme="minorHAnsi"/>
          <w:color w:val="000000"/>
        </w:rPr>
      </w:pPr>
      <w:r w:rsidRPr="00A21A14">
        <w:rPr>
          <w:rFonts w:asciiTheme="minorHAnsi" w:hAnsiTheme="minorHAnsi" w:cstheme="minorHAnsi"/>
          <w:b/>
          <w:bCs/>
          <w:color w:val="000000"/>
        </w:rPr>
        <w:t xml:space="preserve">Community-Based Process:  </w:t>
      </w:r>
      <w:r w:rsidRPr="00A21A14">
        <w:rPr>
          <w:rFonts w:asciiTheme="minorHAnsi" w:hAnsiTheme="minorHAnsi" w:cstheme="minorHAnsi"/>
          <w:color w:val="000000"/>
        </w:rPr>
        <w:t xml:space="preserve">This strategy aims to enhance the ability of the community to </w:t>
      </w:r>
      <w:proofErr w:type="gramStart"/>
      <w:r w:rsidRPr="00A21A14">
        <w:rPr>
          <w:rFonts w:asciiTheme="minorHAnsi" w:hAnsiTheme="minorHAnsi" w:cstheme="minorHAnsi"/>
          <w:color w:val="000000"/>
        </w:rPr>
        <w:t>more effectively provide prevention and treatment services</w:t>
      </w:r>
      <w:proofErr w:type="gramEnd"/>
      <w:r w:rsidRPr="00A21A14">
        <w:rPr>
          <w:rFonts w:asciiTheme="minorHAnsi" w:hAnsiTheme="minorHAnsi" w:cstheme="minorHAnsi"/>
          <w:color w:val="000000"/>
        </w:rPr>
        <w:t xml:space="preserve"> for substance use disorders. Activities in this strategy include organizing, planning, enhancing the efficiency and effectiveness of service implementation, building coalitions, and networking.  Examples of methods used for this strategy include the following: </w:t>
      </w:r>
    </w:p>
    <w:p w14:paraId="5EE90ACF" w14:textId="77777777" w:rsidR="000104A5" w:rsidRPr="00A21A14" w:rsidRDefault="000104A5" w:rsidP="000104A5">
      <w:pPr>
        <w:ind w:left="540"/>
        <w:jc w:val="both"/>
        <w:rPr>
          <w:rFonts w:asciiTheme="minorHAnsi" w:hAnsiTheme="minorHAnsi" w:cstheme="minorHAnsi"/>
          <w:color w:val="000000"/>
        </w:rPr>
      </w:pPr>
      <w:r w:rsidRPr="00A21A14">
        <w:rPr>
          <w:rFonts w:asciiTheme="minorHAnsi" w:hAnsiTheme="minorHAnsi" w:cstheme="minorHAnsi"/>
          <w:color w:val="000000"/>
        </w:rPr>
        <w:t xml:space="preserve">Community and volunteer training (e.g., neighborhood action training, training of key  </w:t>
      </w:r>
    </w:p>
    <w:p w14:paraId="2D508529" w14:textId="77777777" w:rsidR="000104A5" w:rsidRPr="00A21A14" w:rsidRDefault="000104A5" w:rsidP="000104A5">
      <w:pPr>
        <w:ind w:left="990"/>
        <w:jc w:val="both"/>
        <w:rPr>
          <w:rFonts w:asciiTheme="minorHAnsi" w:hAnsiTheme="minorHAnsi" w:cstheme="minorHAnsi"/>
          <w:color w:val="000000"/>
        </w:rPr>
      </w:pPr>
      <w:r w:rsidRPr="00A21A14">
        <w:rPr>
          <w:rFonts w:asciiTheme="minorHAnsi" w:hAnsiTheme="minorHAnsi" w:cstheme="minorHAnsi"/>
          <w:color w:val="000000"/>
        </w:rPr>
        <w:t>people within the system, etc.)</w:t>
      </w:r>
    </w:p>
    <w:p w14:paraId="051152A9" w14:textId="77777777" w:rsidR="000104A5" w:rsidRPr="00A21A14" w:rsidRDefault="000104A5" w:rsidP="000104A5">
      <w:pPr>
        <w:ind w:left="270" w:firstLine="360"/>
        <w:jc w:val="both"/>
        <w:rPr>
          <w:rFonts w:asciiTheme="minorHAnsi" w:hAnsiTheme="minorHAnsi" w:cstheme="minorHAnsi"/>
          <w:color w:val="000000"/>
        </w:rPr>
      </w:pPr>
      <w:r w:rsidRPr="00A21A14">
        <w:rPr>
          <w:rFonts w:asciiTheme="minorHAnsi" w:hAnsiTheme="minorHAnsi" w:cstheme="minorHAnsi"/>
          <w:color w:val="000000"/>
        </w:rPr>
        <w:t>Systematic planning</w:t>
      </w:r>
    </w:p>
    <w:p w14:paraId="049CCBEE" w14:textId="77777777" w:rsidR="000104A5" w:rsidRPr="00A21A14" w:rsidRDefault="000104A5" w:rsidP="000104A5">
      <w:pPr>
        <w:ind w:left="-90" w:firstLine="720"/>
        <w:jc w:val="both"/>
        <w:rPr>
          <w:rFonts w:asciiTheme="minorHAnsi" w:hAnsiTheme="minorHAnsi" w:cstheme="minorHAnsi"/>
          <w:color w:val="000000"/>
        </w:rPr>
      </w:pPr>
      <w:r w:rsidRPr="00A21A14">
        <w:rPr>
          <w:rFonts w:asciiTheme="minorHAnsi" w:hAnsiTheme="minorHAnsi" w:cstheme="minorHAnsi"/>
          <w:color w:val="000000"/>
        </w:rPr>
        <w:t xml:space="preserve">Multi-agency coordination and collaboration    </w:t>
      </w:r>
    </w:p>
    <w:p w14:paraId="0E481539" w14:textId="77777777" w:rsidR="000104A5" w:rsidRPr="00A21A14" w:rsidRDefault="000104A5" w:rsidP="000104A5">
      <w:pPr>
        <w:ind w:left="1080" w:firstLine="360"/>
        <w:jc w:val="both"/>
        <w:rPr>
          <w:rFonts w:asciiTheme="minorHAnsi" w:hAnsiTheme="minorHAnsi" w:cstheme="minorHAnsi"/>
          <w:color w:val="000000"/>
        </w:rPr>
      </w:pPr>
      <w:r w:rsidRPr="00A21A14">
        <w:rPr>
          <w:rFonts w:asciiTheme="minorHAnsi" w:hAnsiTheme="minorHAnsi" w:cstheme="minorHAnsi"/>
          <w:color w:val="000000"/>
        </w:rPr>
        <w:t>Accessing service and funding</w:t>
      </w:r>
    </w:p>
    <w:p w14:paraId="7E62E22D" w14:textId="77777777" w:rsidR="000104A5" w:rsidRPr="00A21A14" w:rsidRDefault="000104A5" w:rsidP="000104A5">
      <w:pPr>
        <w:ind w:left="720" w:firstLine="720"/>
        <w:jc w:val="both"/>
        <w:rPr>
          <w:rFonts w:asciiTheme="minorHAnsi" w:hAnsiTheme="minorHAnsi" w:cstheme="minorHAnsi"/>
          <w:color w:val="000000"/>
        </w:rPr>
      </w:pPr>
      <w:r w:rsidRPr="00A21A14">
        <w:rPr>
          <w:rFonts w:asciiTheme="minorHAnsi" w:hAnsiTheme="minorHAnsi" w:cstheme="minorHAnsi"/>
          <w:color w:val="000000"/>
        </w:rPr>
        <w:t>Community team building</w:t>
      </w:r>
    </w:p>
    <w:p w14:paraId="328BDA93" w14:textId="77777777" w:rsidR="000104A5" w:rsidRPr="00EE2C28" w:rsidRDefault="000104A5" w:rsidP="000104A5">
      <w:pPr>
        <w:ind w:left="360"/>
        <w:jc w:val="both"/>
        <w:rPr>
          <w:rFonts w:ascii="Calibri" w:hAnsi="Calibri"/>
          <w:color w:val="000000"/>
          <w:sz w:val="14"/>
          <w:szCs w:val="14"/>
        </w:rPr>
      </w:pPr>
    </w:p>
    <w:p w14:paraId="3A4D078E" w14:textId="77777777" w:rsidR="000104A5" w:rsidRPr="00A21A14" w:rsidRDefault="000104A5" w:rsidP="000104A5">
      <w:pPr>
        <w:pStyle w:val="ListParagraph"/>
        <w:numPr>
          <w:ilvl w:val="0"/>
          <w:numId w:val="1"/>
        </w:numPr>
        <w:contextualSpacing w:val="0"/>
        <w:jc w:val="both"/>
        <w:rPr>
          <w:rFonts w:asciiTheme="minorHAnsi" w:hAnsiTheme="minorHAnsi" w:cstheme="minorHAnsi"/>
          <w:bCs/>
          <w:color w:val="000000"/>
        </w:rPr>
      </w:pPr>
      <w:r w:rsidRPr="00A21A14">
        <w:rPr>
          <w:rFonts w:asciiTheme="minorHAnsi" w:hAnsiTheme="minorHAnsi" w:cstheme="minorHAnsi"/>
          <w:b/>
          <w:bCs/>
          <w:color w:val="000000"/>
        </w:rPr>
        <w:t>Environmental:</w:t>
      </w:r>
      <w:r w:rsidRPr="00A21A14">
        <w:rPr>
          <w:rFonts w:asciiTheme="minorHAnsi" w:hAnsiTheme="minorHAnsi" w:cstheme="minorHAnsi"/>
          <w:bCs/>
          <w:color w:val="000000"/>
        </w:rPr>
        <w:t xml:space="preserve">  This strategy seeks to establish or change community standards, codes, and attitudes, thereby influencing the incidence and prevalence of drug abuse in the general population.  Examples of methods used for this strategy include the following:</w:t>
      </w:r>
    </w:p>
    <w:p w14:paraId="3827975F" w14:textId="77777777" w:rsidR="000104A5" w:rsidRPr="00A21A14" w:rsidRDefault="000104A5" w:rsidP="000104A5">
      <w:pPr>
        <w:ind w:left="1080" w:firstLine="360"/>
        <w:jc w:val="both"/>
        <w:rPr>
          <w:rFonts w:asciiTheme="minorHAnsi" w:hAnsiTheme="minorHAnsi" w:cstheme="minorHAnsi"/>
          <w:color w:val="000000"/>
        </w:rPr>
      </w:pPr>
      <w:r w:rsidRPr="00A21A14">
        <w:rPr>
          <w:rFonts w:asciiTheme="minorHAnsi" w:hAnsiTheme="minorHAnsi" w:cstheme="minorHAnsi"/>
          <w:color w:val="000000"/>
        </w:rPr>
        <w:t>The establishment and review of drug policies in schools</w:t>
      </w:r>
    </w:p>
    <w:p w14:paraId="61E6E79C" w14:textId="77777777" w:rsidR="000104A5" w:rsidRPr="00A21A14" w:rsidRDefault="000104A5" w:rsidP="000104A5">
      <w:pPr>
        <w:ind w:left="1440"/>
        <w:jc w:val="both"/>
        <w:rPr>
          <w:rFonts w:asciiTheme="minorHAnsi" w:hAnsiTheme="minorHAnsi" w:cstheme="minorHAnsi"/>
          <w:color w:val="000000"/>
        </w:rPr>
      </w:pPr>
      <w:r w:rsidRPr="00A21A14">
        <w:rPr>
          <w:rFonts w:asciiTheme="minorHAnsi" w:hAnsiTheme="minorHAnsi" w:cstheme="minorHAnsi"/>
          <w:color w:val="000000"/>
        </w:rPr>
        <w:t>Technical assistance to communities to maximize local enforcement procedures governing the availability and distribution of drugs</w:t>
      </w:r>
    </w:p>
    <w:p w14:paraId="72502C2D" w14:textId="77777777" w:rsidR="000104A5" w:rsidRPr="00A21A14" w:rsidRDefault="000104A5" w:rsidP="000104A5">
      <w:pPr>
        <w:ind w:left="1080" w:firstLine="360"/>
        <w:jc w:val="both"/>
        <w:rPr>
          <w:rFonts w:asciiTheme="minorHAnsi" w:hAnsiTheme="minorHAnsi" w:cstheme="minorHAnsi"/>
          <w:color w:val="000000"/>
        </w:rPr>
      </w:pPr>
      <w:r w:rsidRPr="00A21A14">
        <w:rPr>
          <w:rFonts w:asciiTheme="minorHAnsi" w:hAnsiTheme="minorHAnsi" w:cstheme="minorHAnsi"/>
          <w:color w:val="000000"/>
        </w:rPr>
        <w:t>The review and modification of alcohol and tobacco advertising practices</w:t>
      </w:r>
    </w:p>
    <w:p w14:paraId="08BBB8C1" w14:textId="77777777" w:rsidR="000104A5" w:rsidRPr="00A21A14" w:rsidRDefault="000104A5" w:rsidP="000104A5">
      <w:pPr>
        <w:ind w:left="720" w:firstLine="720"/>
        <w:jc w:val="both"/>
        <w:rPr>
          <w:rFonts w:asciiTheme="minorHAnsi" w:hAnsiTheme="minorHAnsi" w:cstheme="minorHAnsi"/>
          <w:color w:val="000000"/>
        </w:rPr>
      </w:pPr>
      <w:r w:rsidRPr="00A21A14">
        <w:rPr>
          <w:rFonts w:asciiTheme="minorHAnsi" w:hAnsiTheme="minorHAnsi" w:cstheme="minorHAnsi"/>
          <w:color w:val="000000"/>
        </w:rPr>
        <w:t>Product pricing strategies</w:t>
      </w:r>
    </w:p>
    <w:p w14:paraId="24AB8813" w14:textId="77777777" w:rsidR="000104A5" w:rsidRPr="00A21A14" w:rsidRDefault="000104A5" w:rsidP="000104A5">
      <w:pPr>
        <w:ind w:left="720" w:firstLine="720"/>
        <w:jc w:val="both"/>
        <w:rPr>
          <w:rFonts w:asciiTheme="minorHAnsi" w:hAnsiTheme="minorHAnsi" w:cstheme="minorHAnsi"/>
          <w:color w:val="000000"/>
        </w:rPr>
      </w:pPr>
    </w:p>
    <w:p w14:paraId="61964960" w14:textId="77777777" w:rsidR="006102FE" w:rsidRDefault="006102FE"/>
    <w:sectPr w:rsidR="006102FE" w:rsidSect="000104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7E450" w14:textId="77777777" w:rsidR="00BE2A10" w:rsidRDefault="00BE2A10" w:rsidP="00BE2A10">
      <w:r>
        <w:separator/>
      </w:r>
    </w:p>
  </w:endnote>
  <w:endnote w:type="continuationSeparator" w:id="0">
    <w:p w14:paraId="1B0C2F54" w14:textId="77777777" w:rsidR="00BE2A10" w:rsidRDefault="00BE2A10" w:rsidP="00BE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93475" w14:textId="77777777" w:rsidR="00BE2A10" w:rsidRDefault="00BE2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41699" w14:textId="1FEA2656" w:rsidR="00BE2A10" w:rsidRPr="0004518E" w:rsidRDefault="00BE2A10" w:rsidP="00BE2A10">
    <w:pPr>
      <w:pStyle w:val="Header"/>
      <w:jc w:val="center"/>
      <w:rPr>
        <w:rFonts w:asciiTheme="minorHAnsi" w:hAnsiTheme="minorHAnsi" w:cstheme="minorHAnsi"/>
      </w:rPr>
    </w:pPr>
    <w:r w:rsidRPr="0004518E">
      <w:rPr>
        <w:rFonts w:asciiTheme="minorHAnsi" w:hAnsiTheme="minorHAnsi" w:cstheme="minorHAnsi"/>
      </w:rPr>
      <w:t xml:space="preserve">CMHPSM </w:t>
    </w:r>
    <w:r w:rsidRPr="0004518E">
      <w:rPr>
        <w:rFonts w:asciiTheme="minorHAnsi" w:hAnsiTheme="minorHAnsi" w:cstheme="minorHAnsi"/>
      </w:rPr>
      <w:tab/>
      <w:t>RFP#2025</w:t>
    </w:r>
    <w:r>
      <w:rPr>
        <w:rFonts w:asciiTheme="minorHAnsi" w:hAnsiTheme="minorHAnsi" w:cstheme="minorHAnsi"/>
      </w:rPr>
      <w:t>A</w:t>
    </w:r>
    <w:r w:rsidRPr="0004518E">
      <w:rPr>
        <w:rFonts w:asciiTheme="minorHAnsi" w:hAnsiTheme="minorHAnsi" w:cstheme="minorHAnsi"/>
      </w:rPr>
      <w:tab/>
      <w:t xml:space="preserve">Appendix </w:t>
    </w:r>
    <w:r>
      <w:rPr>
        <w:rFonts w:asciiTheme="minorHAnsi" w:hAnsiTheme="minorHAnsi" w:cstheme="minorHAnsi"/>
      </w:rPr>
      <w:t>C</w:t>
    </w:r>
  </w:p>
  <w:p w14:paraId="3A7D96E6" w14:textId="77777777" w:rsidR="00BE2A10" w:rsidRPr="00BE2A10" w:rsidRDefault="00BE2A10" w:rsidP="00BE2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492E5" w14:textId="77777777" w:rsidR="00BE2A10" w:rsidRDefault="00BE2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B55B6" w14:textId="77777777" w:rsidR="00BE2A10" w:rsidRDefault="00BE2A10" w:rsidP="00BE2A10">
      <w:r>
        <w:separator/>
      </w:r>
    </w:p>
  </w:footnote>
  <w:footnote w:type="continuationSeparator" w:id="0">
    <w:p w14:paraId="2EFED764" w14:textId="77777777" w:rsidR="00BE2A10" w:rsidRDefault="00BE2A10" w:rsidP="00BE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DC316" w14:textId="77777777" w:rsidR="00BE2A10" w:rsidRDefault="00BE2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9CD97" w14:textId="77777777" w:rsidR="00BE2A10" w:rsidRDefault="00BE2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0BB99" w14:textId="77777777" w:rsidR="00BE2A10" w:rsidRDefault="00BE2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D167F2"/>
    <w:multiLevelType w:val="hybridMultilevel"/>
    <w:tmpl w:val="0002C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489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A5"/>
    <w:rsid w:val="000104A5"/>
    <w:rsid w:val="006102FE"/>
    <w:rsid w:val="007A0494"/>
    <w:rsid w:val="007E07EB"/>
    <w:rsid w:val="00B057D8"/>
    <w:rsid w:val="00B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8FA7"/>
  <w15:chartTrackingRefBased/>
  <w15:docId w15:val="{42FCDD70-72FB-43A5-B86B-117AC21E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A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0104A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104A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04A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04A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104A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104A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04A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04A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04A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4A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104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04A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04A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104A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104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04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04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04A5"/>
    <w:rPr>
      <w:rFonts w:eastAsiaTheme="majorEastAsia" w:cstheme="majorBidi"/>
      <w:color w:val="272727" w:themeColor="text1" w:themeTint="D8"/>
    </w:rPr>
  </w:style>
  <w:style w:type="paragraph" w:styleId="Title">
    <w:name w:val="Title"/>
    <w:basedOn w:val="Normal"/>
    <w:next w:val="Normal"/>
    <w:link w:val="TitleChar"/>
    <w:uiPriority w:val="10"/>
    <w:qFormat/>
    <w:rsid w:val="000104A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4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04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04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04A5"/>
    <w:pPr>
      <w:spacing w:before="160"/>
      <w:jc w:val="center"/>
    </w:pPr>
    <w:rPr>
      <w:i/>
      <w:iCs/>
      <w:color w:val="404040" w:themeColor="text1" w:themeTint="BF"/>
    </w:rPr>
  </w:style>
  <w:style w:type="character" w:customStyle="1" w:styleId="QuoteChar">
    <w:name w:val="Quote Char"/>
    <w:basedOn w:val="DefaultParagraphFont"/>
    <w:link w:val="Quote"/>
    <w:uiPriority w:val="29"/>
    <w:rsid w:val="000104A5"/>
    <w:rPr>
      <w:i/>
      <w:iCs/>
      <w:color w:val="404040" w:themeColor="text1" w:themeTint="BF"/>
    </w:rPr>
  </w:style>
  <w:style w:type="paragraph" w:styleId="ListParagraph">
    <w:name w:val="List Paragraph"/>
    <w:basedOn w:val="Normal"/>
    <w:uiPriority w:val="34"/>
    <w:qFormat/>
    <w:rsid w:val="000104A5"/>
    <w:pPr>
      <w:ind w:left="720"/>
      <w:contextualSpacing/>
    </w:pPr>
  </w:style>
  <w:style w:type="character" w:styleId="IntenseEmphasis">
    <w:name w:val="Intense Emphasis"/>
    <w:basedOn w:val="DefaultParagraphFont"/>
    <w:uiPriority w:val="21"/>
    <w:qFormat/>
    <w:rsid w:val="000104A5"/>
    <w:rPr>
      <w:i/>
      <w:iCs/>
      <w:color w:val="2F5496" w:themeColor="accent1" w:themeShade="BF"/>
    </w:rPr>
  </w:style>
  <w:style w:type="paragraph" w:styleId="IntenseQuote">
    <w:name w:val="Intense Quote"/>
    <w:basedOn w:val="Normal"/>
    <w:next w:val="Normal"/>
    <w:link w:val="IntenseQuoteChar"/>
    <w:uiPriority w:val="30"/>
    <w:qFormat/>
    <w:rsid w:val="000104A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104A5"/>
    <w:rPr>
      <w:i/>
      <w:iCs/>
      <w:color w:val="2F5496" w:themeColor="accent1" w:themeShade="BF"/>
    </w:rPr>
  </w:style>
  <w:style w:type="character" w:styleId="IntenseReference">
    <w:name w:val="Intense Reference"/>
    <w:basedOn w:val="DefaultParagraphFont"/>
    <w:uiPriority w:val="32"/>
    <w:qFormat/>
    <w:rsid w:val="000104A5"/>
    <w:rPr>
      <w:b/>
      <w:bCs/>
      <w:smallCaps/>
      <w:color w:val="2F5496" w:themeColor="accent1" w:themeShade="BF"/>
      <w:spacing w:val="5"/>
    </w:rPr>
  </w:style>
  <w:style w:type="paragraph" w:styleId="Header">
    <w:name w:val="header"/>
    <w:basedOn w:val="Normal"/>
    <w:link w:val="HeaderChar"/>
    <w:uiPriority w:val="99"/>
    <w:unhideWhenUsed/>
    <w:rsid w:val="00BE2A10"/>
    <w:pPr>
      <w:tabs>
        <w:tab w:val="center" w:pos="4680"/>
        <w:tab w:val="right" w:pos="9360"/>
      </w:tabs>
    </w:pPr>
  </w:style>
  <w:style w:type="character" w:customStyle="1" w:styleId="HeaderChar">
    <w:name w:val="Header Char"/>
    <w:basedOn w:val="DefaultParagraphFont"/>
    <w:link w:val="Header"/>
    <w:uiPriority w:val="99"/>
    <w:rsid w:val="00BE2A1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E2A10"/>
    <w:pPr>
      <w:tabs>
        <w:tab w:val="center" w:pos="4680"/>
        <w:tab w:val="right" w:pos="9360"/>
      </w:tabs>
    </w:pPr>
  </w:style>
  <w:style w:type="character" w:customStyle="1" w:styleId="FooterChar">
    <w:name w:val="Footer Char"/>
    <w:basedOn w:val="DefaultParagraphFont"/>
    <w:link w:val="Footer"/>
    <w:uiPriority w:val="99"/>
    <w:rsid w:val="00BE2A1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Adelman</dc:creator>
  <cp:keywords/>
  <dc:description/>
  <cp:lastModifiedBy>Jane Goerge</cp:lastModifiedBy>
  <cp:revision>4</cp:revision>
  <dcterms:created xsi:type="dcterms:W3CDTF">2024-03-20T03:47:00Z</dcterms:created>
  <dcterms:modified xsi:type="dcterms:W3CDTF">2024-03-26T20:30:00Z</dcterms:modified>
</cp:coreProperties>
</file>